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80" w:rsidRDefault="00351780" w:rsidP="00351780">
      <w:pPr>
        <w:rPr>
          <w:b/>
          <w:sz w:val="28"/>
          <w:szCs w:val="28"/>
          <w:u w:val="single"/>
        </w:rPr>
      </w:pPr>
      <w:r w:rsidRPr="00F62197">
        <w:rPr>
          <w:b/>
          <w:sz w:val="28"/>
          <w:szCs w:val="28"/>
          <w:u w:val="single"/>
        </w:rPr>
        <w:t xml:space="preserve">National road accident statistics submitted by </w:t>
      </w:r>
      <w:r>
        <w:rPr>
          <w:b/>
          <w:sz w:val="28"/>
          <w:szCs w:val="28"/>
          <w:u w:val="single"/>
        </w:rPr>
        <w:t>AEBTRI</w:t>
      </w:r>
      <w:r w:rsidRPr="00F62197">
        <w:rPr>
          <w:b/>
          <w:sz w:val="28"/>
          <w:szCs w:val="28"/>
          <w:u w:val="single"/>
        </w:rPr>
        <w:t xml:space="preserve">, </w:t>
      </w:r>
      <w:r>
        <w:rPr>
          <w:b/>
          <w:sz w:val="28"/>
          <w:szCs w:val="28"/>
          <w:u w:val="single"/>
        </w:rPr>
        <w:t>Bulgaria</w:t>
      </w:r>
    </w:p>
    <w:p w:rsidR="00351780" w:rsidRDefault="00351780" w:rsidP="00351780">
      <w:pPr>
        <w:rPr>
          <w:lang w:val="en-US"/>
        </w:rPr>
      </w:pPr>
    </w:p>
    <w:p w:rsidR="00351780" w:rsidRDefault="00351780" w:rsidP="00351780">
      <w:pPr>
        <w:rPr>
          <w:lang w:val="en-US"/>
        </w:rPr>
      </w:pPr>
      <w:r>
        <w:rPr>
          <w:lang w:val="en-US"/>
        </w:rPr>
        <w:t>Bulgarian statistics are collected by the Traffic Police and issued by the Public Consultative Commission on the Problems of Road Safety. There is no available detailed information on the number of accidents with drivers of trucks and buses involved.</w:t>
      </w:r>
    </w:p>
    <w:p w:rsidR="00351780" w:rsidRDefault="00351780" w:rsidP="00351780">
      <w:pPr>
        <w:rPr>
          <w:lang w:val="en-US"/>
        </w:rPr>
      </w:pPr>
      <w:r>
        <w:rPr>
          <w:lang w:val="en-US"/>
        </w:rPr>
        <w:t xml:space="preserve">As can be seen from the figures and graphs below, there is a </w:t>
      </w:r>
      <w:r w:rsidRPr="0031621D">
        <w:rPr>
          <w:lang w:val="en-US"/>
        </w:rPr>
        <w:t xml:space="preserve">sustainable decreasing trend regarding the number of fatalities </w:t>
      </w:r>
      <w:r>
        <w:rPr>
          <w:lang w:val="en-US"/>
        </w:rPr>
        <w:t>over the last five years - by more than 43%, i.e. by about 9% yearly in a comparison with the base year 2008.</w:t>
      </w:r>
    </w:p>
    <w:p w:rsidR="00351780" w:rsidRDefault="00351780" w:rsidP="00351780">
      <w:pPr>
        <w:rPr>
          <w:lang w:val="en-US"/>
        </w:rPr>
      </w:pPr>
      <w:r w:rsidRPr="0031621D">
        <w:rPr>
          <w:lang w:val="en-US"/>
        </w:rPr>
        <w:t>Very recent data:</w:t>
      </w:r>
      <w:r>
        <w:rPr>
          <w:lang w:val="en-US"/>
        </w:rPr>
        <w:t xml:space="preserve"> Up to 8.07.2013 the number of fatalities from the beginning of this year is 253 i.e. about 20 cases less compared to the same period in 2012. A new decrease of at least 5-6% (on an annual basis) can be expected.</w:t>
      </w:r>
    </w:p>
    <w:p w:rsidR="00351780" w:rsidRDefault="00351780" w:rsidP="00351780">
      <w:pPr>
        <w:rPr>
          <w:lang w:val="en-US"/>
        </w:rPr>
      </w:pPr>
      <w:r>
        <w:rPr>
          <w:lang w:val="en-US"/>
        </w:rPr>
        <w:t xml:space="preserve">The number of those injured in 2012 was 8,193, compared to 8,301 injured people in 2011, showing a slight reduction of about 1.5%. </w:t>
      </w:r>
    </w:p>
    <w:p w:rsidR="00351780" w:rsidRDefault="00351780" w:rsidP="00351780">
      <w:pPr>
        <w:rPr>
          <w:lang w:val="en-US"/>
        </w:rPr>
      </w:pPr>
      <w:r>
        <w:rPr>
          <w:lang w:val="en-US"/>
        </w:rPr>
        <w:t>During 2012 the number of road accidents was at 6,717, slightly increasing by about 1% in comparison with 6,638 registered cases in 2011.</w:t>
      </w:r>
    </w:p>
    <w:p w:rsidR="00351780" w:rsidRDefault="00351780" w:rsidP="00351780">
      <w:pPr>
        <w:rPr>
          <w:rFonts w:cs="Arial"/>
          <w:u w:val="single"/>
          <w:lang w:val="en-US"/>
        </w:rPr>
      </w:pPr>
      <w:r>
        <w:rPr>
          <w:rFonts w:cs="Arial"/>
          <w:lang w:val="en-US"/>
        </w:rPr>
        <w:t xml:space="preserve">Regarding </w:t>
      </w:r>
      <w:r>
        <w:t xml:space="preserve">national road safety targets, there is nothing new to report. </w:t>
      </w:r>
    </w:p>
    <w:p w:rsidR="00351780" w:rsidRDefault="00351780" w:rsidP="00351780">
      <w:pPr>
        <w:rPr>
          <w:lang w:val="en-US"/>
        </w:rPr>
      </w:pPr>
      <w:r>
        <w:rPr>
          <w:lang w:val="en-US"/>
        </w:rPr>
        <w:t xml:space="preserve">On 22 December 2011, a new National Strategy for Improving Road Safety was adopted by the Bulgarian Council of Ministers aimed to further decrease of the number and consequences of road accidents, i.e. to decrease fatalities (by 50%) and injured people (by 20%) by 2020 compared to 2010. This means no more than 388 people killed and no more than 6,363 people injured per year. </w:t>
      </w:r>
    </w:p>
    <w:p w:rsidR="00351780" w:rsidRPr="001232D3" w:rsidRDefault="00351780" w:rsidP="00351780">
      <w:pPr>
        <w:rPr>
          <w:lang w:val="en-US"/>
        </w:rPr>
      </w:pPr>
      <w:r w:rsidRPr="001232D3">
        <w:rPr>
          <w:lang w:val="en-US"/>
        </w:rPr>
        <w:t>Currently, the first one of these two tar</w:t>
      </w:r>
      <w:r>
        <w:rPr>
          <w:lang w:val="en-US"/>
        </w:rPr>
        <w:t>gets (</w:t>
      </w:r>
      <w:r w:rsidRPr="001232D3">
        <w:rPr>
          <w:lang w:val="en-US"/>
        </w:rPr>
        <w:t>number of fatalities</w:t>
      </w:r>
      <w:r>
        <w:rPr>
          <w:lang w:val="en-US"/>
        </w:rPr>
        <w:t>) is partially achieved;</w:t>
      </w:r>
      <w:r w:rsidRPr="001232D3">
        <w:rPr>
          <w:lang w:val="en-US"/>
        </w:rPr>
        <w:t xml:space="preserve"> Bulgaria is on the right track. There are still many problems to be solve</w:t>
      </w:r>
      <w:r>
        <w:rPr>
          <w:lang w:val="en-US"/>
        </w:rPr>
        <w:t>d</w:t>
      </w:r>
      <w:r w:rsidRPr="001232D3">
        <w:rPr>
          <w:lang w:val="en-US"/>
        </w:rPr>
        <w:t xml:space="preserve"> with the </w:t>
      </w:r>
      <w:r>
        <w:rPr>
          <w:lang w:val="en-US"/>
        </w:rPr>
        <w:t>other crucial consequences</w:t>
      </w:r>
      <w:r w:rsidRPr="001232D3">
        <w:rPr>
          <w:lang w:val="en-US"/>
        </w:rPr>
        <w:t xml:space="preserve"> of road accidents</w:t>
      </w:r>
      <w:r>
        <w:rPr>
          <w:lang w:val="en-US"/>
        </w:rPr>
        <w:t>; the number of those injured, which</w:t>
      </w:r>
      <w:r w:rsidRPr="001232D3">
        <w:rPr>
          <w:lang w:val="en-US"/>
        </w:rPr>
        <w:t xml:space="preserve"> nevertheless </w:t>
      </w:r>
      <w:r>
        <w:rPr>
          <w:lang w:val="en-US"/>
        </w:rPr>
        <w:t xml:space="preserve">has </w:t>
      </w:r>
      <w:r w:rsidRPr="001232D3">
        <w:rPr>
          <w:lang w:val="en-US"/>
        </w:rPr>
        <w:t xml:space="preserve">already </w:t>
      </w:r>
      <w:r>
        <w:rPr>
          <w:lang w:val="en-US"/>
        </w:rPr>
        <w:t>reduced</w:t>
      </w:r>
      <w:r w:rsidRPr="001232D3">
        <w:rPr>
          <w:lang w:val="en-US"/>
        </w:rPr>
        <w:t xml:space="preserve"> during the last five years by about 18%.</w:t>
      </w:r>
    </w:p>
    <w:p w:rsidR="00351780" w:rsidRDefault="00351780" w:rsidP="00351780">
      <w:pPr>
        <w:pStyle w:val="Footer"/>
        <w:rPr>
          <w:rFonts w:cs="Arial"/>
          <w:lang w:val="en-US"/>
        </w:rPr>
      </w:pPr>
    </w:p>
    <w:p w:rsidR="00351780" w:rsidRDefault="00351780" w:rsidP="00351780">
      <w:pPr>
        <w:rPr>
          <w:rFonts w:cs="Arial"/>
          <w:bCs/>
          <w:lang w:val="en-US"/>
        </w:rPr>
      </w:pPr>
    </w:p>
    <w:p w:rsidR="00351780" w:rsidRPr="0094081F" w:rsidRDefault="00351780" w:rsidP="00351780">
      <w:pPr>
        <w:rPr>
          <w:b/>
          <w:lang w:val="en-US"/>
        </w:rPr>
      </w:pPr>
      <w:r w:rsidRPr="0094081F">
        <w:rPr>
          <w:b/>
          <w:lang w:val="en-US"/>
        </w:rPr>
        <w:t>Statistical Data</w:t>
      </w:r>
    </w:p>
    <w:p w:rsidR="00351780" w:rsidRDefault="00351780" w:rsidP="00351780">
      <w:pPr>
        <w:spacing w:after="0"/>
        <w:ind w:left="1134" w:hanging="1134"/>
        <w:rPr>
          <w:rFonts w:cs="Arial"/>
          <w:b/>
          <w:i/>
          <w:iCs/>
          <w:lang w:val="en-US"/>
        </w:rPr>
      </w:pPr>
      <w:r>
        <w:rPr>
          <w:rFonts w:cs="Arial"/>
          <w:b/>
          <w:i/>
          <w:iCs/>
          <w:lang w:val="en-US"/>
        </w:rPr>
        <w:t>Source:</w:t>
      </w:r>
      <w:r>
        <w:rPr>
          <w:rFonts w:cs="Arial"/>
          <w:b/>
          <w:i/>
          <w:iCs/>
          <w:lang w:val="en-US"/>
        </w:rPr>
        <w:tab/>
        <w:t>State – Public Consultative Commission on the Problems of Road Safety</w:t>
      </w:r>
    </w:p>
    <w:p w:rsidR="00351780" w:rsidRDefault="00351780" w:rsidP="00351780">
      <w:pPr>
        <w:ind w:left="1134" w:hanging="1134"/>
        <w:rPr>
          <w:rFonts w:cs="Arial"/>
          <w:b/>
          <w:i/>
          <w:iCs/>
          <w:lang w:val="en-US"/>
        </w:rPr>
      </w:pPr>
      <w:r>
        <w:rPr>
          <w:rFonts w:cs="Arial"/>
          <w:b/>
          <w:i/>
          <w:iCs/>
          <w:lang w:val="en-US"/>
        </w:rPr>
        <w:tab/>
        <w:t>Sofia, Bulgaria</w:t>
      </w:r>
    </w:p>
    <w:p w:rsidR="00351780" w:rsidRDefault="00351780" w:rsidP="00351780">
      <w:pPr>
        <w:rPr>
          <w:rFonts w:cs="Arial"/>
          <w:lang w:val="en-US"/>
        </w:rPr>
      </w:pPr>
    </w:p>
    <w:p w:rsidR="00351780" w:rsidRPr="0094081F" w:rsidRDefault="00351780" w:rsidP="00351780">
      <w:pPr>
        <w:rPr>
          <w:b/>
          <w:lang w:val="en-US"/>
        </w:rPr>
      </w:pPr>
      <w:r w:rsidRPr="0094081F">
        <w:rPr>
          <w:b/>
          <w:lang w:val="en-US"/>
        </w:rPr>
        <w:t>Recent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1705"/>
      </w:tblGrid>
      <w:tr w:rsidR="00351780" w:rsidTr="00C54A47">
        <w:tc>
          <w:tcPr>
            <w:tcW w:w="1704" w:type="dxa"/>
            <w:shd w:val="clear" w:color="auto" w:fill="F2F2F2" w:themeFill="background1" w:themeFillShade="F2"/>
          </w:tcPr>
          <w:p w:rsidR="00351780" w:rsidRPr="0094081F" w:rsidRDefault="00351780" w:rsidP="00C54A47">
            <w:pPr>
              <w:jc w:val="center"/>
              <w:rPr>
                <w:rFonts w:cs="Arial"/>
                <w:b/>
                <w:bCs/>
                <w:lang w:val="en-US"/>
              </w:rPr>
            </w:pPr>
            <w:r w:rsidRPr="0094081F">
              <w:rPr>
                <w:rFonts w:cs="Arial"/>
                <w:b/>
                <w:bCs/>
                <w:lang w:val="en-US"/>
              </w:rPr>
              <w:t>Year</w:t>
            </w:r>
          </w:p>
        </w:tc>
        <w:tc>
          <w:tcPr>
            <w:tcW w:w="1704" w:type="dxa"/>
            <w:shd w:val="clear" w:color="auto" w:fill="F2F2F2" w:themeFill="background1" w:themeFillShade="F2"/>
          </w:tcPr>
          <w:p w:rsidR="00351780" w:rsidRPr="0094081F" w:rsidRDefault="00351780" w:rsidP="00C54A47">
            <w:pPr>
              <w:jc w:val="center"/>
              <w:rPr>
                <w:rFonts w:cs="Arial"/>
                <w:b/>
                <w:bCs/>
                <w:lang w:val="en-US"/>
              </w:rPr>
            </w:pPr>
            <w:r w:rsidRPr="0094081F">
              <w:rPr>
                <w:rFonts w:cs="Arial"/>
                <w:b/>
                <w:bCs/>
                <w:lang w:val="en-US"/>
              </w:rPr>
              <w:t>No of Accidents</w:t>
            </w:r>
          </w:p>
        </w:tc>
        <w:tc>
          <w:tcPr>
            <w:tcW w:w="1704" w:type="dxa"/>
            <w:shd w:val="clear" w:color="auto" w:fill="F2F2F2" w:themeFill="background1" w:themeFillShade="F2"/>
          </w:tcPr>
          <w:p w:rsidR="00351780" w:rsidRPr="0094081F" w:rsidRDefault="00351780" w:rsidP="00C54A47">
            <w:pPr>
              <w:jc w:val="center"/>
              <w:rPr>
                <w:rFonts w:cs="Arial"/>
                <w:b/>
                <w:bCs/>
                <w:lang w:val="en-US"/>
              </w:rPr>
            </w:pPr>
            <w:r w:rsidRPr="0094081F">
              <w:rPr>
                <w:rFonts w:cs="Arial"/>
                <w:b/>
                <w:bCs/>
                <w:lang w:val="en-US"/>
              </w:rPr>
              <w:t>Fatalities</w:t>
            </w:r>
          </w:p>
        </w:tc>
        <w:tc>
          <w:tcPr>
            <w:tcW w:w="1705" w:type="dxa"/>
            <w:shd w:val="clear" w:color="auto" w:fill="F2F2F2" w:themeFill="background1" w:themeFillShade="F2"/>
          </w:tcPr>
          <w:p w:rsidR="00351780" w:rsidRPr="0094081F" w:rsidRDefault="00351780" w:rsidP="00C54A47">
            <w:pPr>
              <w:jc w:val="center"/>
              <w:rPr>
                <w:rFonts w:cs="Arial"/>
                <w:b/>
                <w:bCs/>
                <w:lang w:val="en-US"/>
              </w:rPr>
            </w:pPr>
            <w:r w:rsidRPr="0094081F">
              <w:rPr>
                <w:rFonts w:cs="Arial"/>
                <w:b/>
                <w:bCs/>
                <w:lang w:val="en-US"/>
              </w:rPr>
              <w:t>Injured people</w:t>
            </w:r>
          </w:p>
        </w:tc>
      </w:tr>
      <w:tr w:rsidR="00351780" w:rsidTr="00C54A47">
        <w:tc>
          <w:tcPr>
            <w:tcW w:w="1704" w:type="dxa"/>
          </w:tcPr>
          <w:p w:rsidR="00351780" w:rsidRDefault="00351780" w:rsidP="00C54A47">
            <w:pPr>
              <w:jc w:val="center"/>
              <w:rPr>
                <w:rFonts w:cs="Arial"/>
                <w:bCs/>
                <w:lang w:val="en-US"/>
              </w:rPr>
            </w:pPr>
            <w:r>
              <w:rPr>
                <w:rFonts w:cs="Arial"/>
                <w:bCs/>
                <w:lang w:val="en-US"/>
              </w:rPr>
              <w:t>2012</w:t>
            </w:r>
          </w:p>
        </w:tc>
        <w:tc>
          <w:tcPr>
            <w:tcW w:w="1704" w:type="dxa"/>
          </w:tcPr>
          <w:p w:rsidR="00351780" w:rsidRDefault="00351780" w:rsidP="00C54A47">
            <w:pPr>
              <w:jc w:val="center"/>
              <w:rPr>
                <w:rFonts w:cs="Arial"/>
                <w:szCs w:val="16"/>
              </w:rPr>
            </w:pPr>
            <w:r>
              <w:rPr>
                <w:rFonts w:cs="Arial"/>
                <w:szCs w:val="16"/>
              </w:rPr>
              <w:t>6,717</w:t>
            </w:r>
          </w:p>
        </w:tc>
        <w:tc>
          <w:tcPr>
            <w:tcW w:w="1704" w:type="dxa"/>
          </w:tcPr>
          <w:p w:rsidR="00351780" w:rsidRDefault="00351780" w:rsidP="00C54A47">
            <w:pPr>
              <w:jc w:val="center"/>
              <w:rPr>
                <w:rFonts w:cs="Arial"/>
                <w:szCs w:val="16"/>
              </w:rPr>
            </w:pPr>
            <w:r>
              <w:rPr>
                <w:rFonts w:cs="Arial"/>
                <w:szCs w:val="16"/>
              </w:rPr>
              <w:t>601</w:t>
            </w:r>
          </w:p>
        </w:tc>
        <w:tc>
          <w:tcPr>
            <w:tcW w:w="1705" w:type="dxa"/>
          </w:tcPr>
          <w:p w:rsidR="00351780" w:rsidRDefault="00351780" w:rsidP="00C54A47">
            <w:pPr>
              <w:jc w:val="center"/>
              <w:rPr>
                <w:rFonts w:cs="Arial"/>
                <w:szCs w:val="16"/>
              </w:rPr>
            </w:pPr>
            <w:r>
              <w:rPr>
                <w:rFonts w:cs="Arial"/>
                <w:szCs w:val="16"/>
              </w:rPr>
              <w:t>8,193</w:t>
            </w:r>
          </w:p>
        </w:tc>
      </w:tr>
      <w:tr w:rsidR="00351780" w:rsidTr="00C54A47">
        <w:tc>
          <w:tcPr>
            <w:tcW w:w="1704" w:type="dxa"/>
          </w:tcPr>
          <w:p w:rsidR="00351780" w:rsidRDefault="00351780" w:rsidP="00C54A47">
            <w:pPr>
              <w:jc w:val="center"/>
              <w:rPr>
                <w:rFonts w:cs="Arial"/>
                <w:bCs/>
                <w:lang w:val="en-US"/>
              </w:rPr>
            </w:pPr>
            <w:r>
              <w:rPr>
                <w:rFonts w:cs="Arial"/>
                <w:bCs/>
                <w:lang w:val="en-US"/>
              </w:rPr>
              <w:t>2011</w:t>
            </w:r>
          </w:p>
        </w:tc>
        <w:tc>
          <w:tcPr>
            <w:tcW w:w="1704" w:type="dxa"/>
          </w:tcPr>
          <w:p w:rsidR="00351780" w:rsidRDefault="00351780" w:rsidP="00C54A47">
            <w:pPr>
              <w:jc w:val="center"/>
              <w:rPr>
                <w:rFonts w:cs="Arial"/>
                <w:szCs w:val="16"/>
              </w:rPr>
            </w:pPr>
            <w:r>
              <w:rPr>
                <w:rFonts w:cs="Arial"/>
                <w:szCs w:val="16"/>
              </w:rPr>
              <w:t>6,638</w:t>
            </w:r>
          </w:p>
        </w:tc>
        <w:tc>
          <w:tcPr>
            <w:tcW w:w="1704" w:type="dxa"/>
          </w:tcPr>
          <w:p w:rsidR="00351780" w:rsidRDefault="00351780" w:rsidP="00C54A47">
            <w:pPr>
              <w:jc w:val="center"/>
              <w:rPr>
                <w:rFonts w:cs="Arial"/>
                <w:szCs w:val="16"/>
              </w:rPr>
            </w:pPr>
            <w:r>
              <w:rPr>
                <w:rFonts w:cs="Arial"/>
                <w:szCs w:val="16"/>
              </w:rPr>
              <w:t>658</w:t>
            </w:r>
          </w:p>
        </w:tc>
        <w:tc>
          <w:tcPr>
            <w:tcW w:w="1705" w:type="dxa"/>
          </w:tcPr>
          <w:p w:rsidR="00351780" w:rsidRDefault="00351780" w:rsidP="00C54A47">
            <w:pPr>
              <w:jc w:val="center"/>
              <w:rPr>
                <w:rFonts w:cs="Arial"/>
                <w:szCs w:val="16"/>
              </w:rPr>
            </w:pPr>
            <w:r>
              <w:rPr>
                <w:rFonts w:cs="Arial"/>
                <w:szCs w:val="16"/>
              </w:rPr>
              <w:t>8,301</w:t>
            </w:r>
          </w:p>
        </w:tc>
      </w:tr>
      <w:tr w:rsidR="00351780" w:rsidTr="00C54A47">
        <w:tc>
          <w:tcPr>
            <w:tcW w:w="1704" w:type="dxa"/>
          </w:tcPr>
          <w:p w:rsidR="00351780" w:rsidRDefault="00351780" w:rsidP="00C54A47">
            <w:pPr>
              <w:jc w:val="center"/>
              <w:rPr>
                <w:rFonts w:cs="Arial"/>
                <w:bCs/>
                <w:lang w:val="en-US"/>
              </w:rPr>
            </w:pPr>
            <w:r>
              <w:rPr>
                <w:rFonts w:cs="Arial"/>
                <w:bCs/>
                <w:lang w:val="en-US"/>
              </w:rPr>
              <w:t>2010</w:t>
            </w:r>
          </w:p>
        </w:tc>
        <w:tc>
          <w:tcPr>
            <w:tcW w:w="1704" w:type="dxa"/>
          </w:tcPr>
          <w:p w:rsidR="00351780" w:rsidRDefault="00351780" w:rsidP="00C54A47">
            <w:pPr>
              <w:jc w:val="center"/>
              <w:rPr>
                <w:rFonts w:cs="Arial"/>
                <w:lang w:val="en-US"/>
              </w:rPr>
            </w:pPr>
            <w:r>
              <w:rPr>
                <w:rFonts w:cs="Arial"/>
                <w:szCs w:val="16"/>
              </w:rPr>
              <w:t>6,610</w:t>
            </w:r>
          </w:p>
        </w:tc>
        <w:tc>
          <w:tcPr>
            <w:tcW w:w="1704" w:type="dxa"/>
          </w:tcPr>
          <w:p w:rsidR="00351780" w:rsidRDefault="00351780" w:rsidP="00C54A47">
            <w:pPr>
              <w:jc w:val="center"/>
              <w:rPr>
                <w:rFonts w:cs="Arial"/>
                <w:lang w:val="en-US"/>
              </w:rPr>
            </w:pPr>
            <w:r>
              <w:rPr>
                <w:rFonts w:cs="Arial"/>
                <w:szCs w:val="16"/>
              </w:rPr>
              <w:t>775</w:t>
            </w:r>
          </w:p>
        </w:tc>
        <w:tc>
          <w:tcPr>
            <w:tcW w:w="1705" w:type="dxa"/>
          </w:tcPr>
          <w:p w:rsidR="00351780" w:rsidRDefault="00351780" w:rsidP="00C54A47">
            <w:pPr>
              <w:jc w:val="center"/>
              <w:rPr>
                <w:rFonts w:cs="Arial"/>
                <w:lang w:val="en-US"/>
              </w:rPr>
            </w:pPr>
            <w:r>
              <w:rPr>
                <w:rFonts w:cs="Arial"/>
                <w:szCs w:val="16"/>
              </w:rPr>
              <w:t>8,080</w:t>
            </w:r>
          </w:p>
        </w:tc>
      </w:tr>
      <w:tr w:rsidR="00351780" w:rsidTr="00C54A47">
        <w:tc>
          <w:tcPr>
            <w:tcW w:w="1704" w:type="dxa"/>
          </w:tcPr>
          <w:p w:rsidR="00351780" w:rsidRDefault="00351780" w:rsidP="00C54A47">
            <w:pPr>
              <w:jc w:val="center"/>
              <w:rPr>
                <w:rFonts w:cs="Arial"/>
                <w:bCs/>
                <w:lang w:val="en-US"/>
              </w:rPr>
            </w:pPr>
            <w:r>
              <w:rPr>
                <w:rFonts w:cs="Arial"/>
                <w:bCs/>
                <w:lang w:val="en-US"/>
              </w:rPr>
              <w:t>2009</w:t>
            </w:r>
          </w:p>
        </w:tc>
        <w:tc>
          <w:tcPr>
            <w:tcW w:w="1704" w:type="dxa"/>
          </w:tcPr>
          <w:p w:rsidR="00351780" w:rsidRDefault="00351780" w:rsidP="00C54A47">
            <w:pPr>
              <w:jc w:val="center"/>
              <w:rPr>
                <w:rFonts w:cs="Arial"/>
                <w:lang w:val="en-US"/>
              </w:rPr>
            </w:pPr>
            <w:r>
              <w:rPr>
                <w:rFonts w:cs="Arial"/>
                <w:szCs w:val="16"/>
              </w:rPr>
              <w:t>7,068</w:t>
            </w:r>
          </w:p>
        </w:tc>
        <w:tc>
          <w:tcPr>
            <w:tcW w:w="1704" w:type="dxa"/>
          </w:tcPr>
          <w:p w:rsidR="00351780" w:rsidRDefault="00351780" w:rsidP="00C54A47">
            <w:pPr>
              <w:jc w:val="center"/>
              <w:rPr>
                <w:rFonts w:cs="Arial"/>
                <w:lang w:val="en-US"/>
              </w:rPr>
            </w:pPr>
            <w:r>
              <w:rPr>
                <w:rFonts w:cs="Arial"/>
                <w:szCs w:val="16"/>
              </w:rPr>
              <w:t>901</w:t>
            </w:r>
          </w:p>
        </w:tc>
        <w:tc>
          <w:tcPr>
            <w:tcW w:w="1705" w:type="dxa"/>
          </w:tcPr>
          <w:p w:rsidR="00351780" w:rsidRDefault="00351780" w:rsidP="00C54A47">
            <w:pPr>
              <w:jc w:val="center"/>
              <w:rPr>
                <w:rFonts w:cs="Arial"/>
                <w:lang w:val="en-US"/>
              </w:rPr>
            </w:pPr>
            <w:r>
              <w:rPr>
                <w:rFonts w:cs="Arial"/>
                <w:szCs w:val="16"/>
              </w:rPr>
              <w:t>8,674</w:t>
            </w:r>
          </w:p>
        </w:tc>
      </w:tr>
      <w:tr w:rsidR="00351780" w:rsidTr="00C54A47">
        <w:tc>
          <w:tcPr>
            <w:tcW w:w="1704" w:type="dxa"/>
          </w:tcPr>
          <w:p w:rsidR="00351780" w:rsidRDefault="00351780" w:rsidP="00C54A47">
            <w:pPr>
              <w:jc w:val="center"/>
              <w:rPr>
                <w:rFonts w:cs="Arial"/>
                <w:bCs/>
                <w:lang w:val="en-US"/>
              </w:rPr>
            </w:pPr>
            <w:r>
              <w:rPr>
                <w:rFonts w:cs="Arial"/>
                <w:bCs/>
                <w:lang w:val="en-US"/>
              </w:rPr>
              <w:t>2008</w:t>
            </w:r>
          </w:p>
        </w:tc>
        <w:tc>
          <w:tcPr>
            <w:tcW w:w="1704" w:type="dxa"/>
          </w:tcPr>
          <w:p w:rsidR="00351780" w:rsidRDefault="00351780" w:rsidP="00C54A47">
            <w:pPr>
              <w:jc w:val="center"/>
              <w:rPr>
                <w:rFonts w:cs="Arial"/>
                <w:szCs w:val="16"/>
              </w:rPr>
            </w:pPr>
            <w:r>
              <w:rPr>
                <w:rFonts w:cs="Arial"/>
                <w:szCs w:val="16"/>
              </w:rPr>
              <w:t>8,042</w:t>
            </w:r>
          </w:p>
        </w:tc>
        <w:tc>
          <w:tcPr>
            <w:tcW w:w="1704" w:type="dxa"/>
          </w:tcPr>
          <w:p w:rsidR="00351780" w:rsidRDefault="00351780" w:rsidP="00C54A47">
            <w:pPr>
              <w:jc w:val="center"/>
              <w:rPr>
                <w:rFonts w:cs="Arial"/>
                <w:szCs w:val="16"/>
              </w:rPr>
            </w:pPr>
            <w:r>
              <w:rPr>
                <w:rFonts w:cs="Arial"/>
                <w:szCs w:val="16"/>
              </w:rPr>
              <w:t>1,061</w:t>
            </w:r>
          </w:p>
        </w:tc>
        <w:tc>
          <w:tcPr>
            <w:tcW w:w="1705" w:type="dxa"/>
          </w:tcPr>
          <w:p w:rsidR="00351780" w:rsidRDefault="00351780" w:rsidP="00C54A47">
            <w:pPr>
              <w:jc w:val="center"/>
              <w:rPr>
                <w:rFonts w:cs="Arial"/>
                <w:szCs w:val="16"/>
              </w:rPr>
            </w:pPr>
            <w:r>
              <w:rPr>
                <w:rFonts w:cs="Arial"/>
                <w:szCs w:val="16"/>
              </w:rPr>
              <w:t>9,951</w:t>
            </w:r>
          </w:p>
        </w:tc>
      </w:tr>
    </w:tbl>
    <w:p w:rsidR="00351780" w:rsidRDefault="00351780" w:rsidP="00351780">
      <w:pPr>
        <w:rPr>
          <w:b/>
          <w:lang w:val="en-US"/>
        </w:rPr>
      </w:pPr>
    </w:p>
    <w:p w:rsidR="00351780" w:rsidRDefault="00351780" w:rsidP="00351780">
      <w:pPr>
        <w:rPr>
          <w:b/>
          <w:lang w:val="en-US"/>
        </w:rPr>
      </w:pPr>
    </w:p>
    <w:p w:rsidR="00351780" w:rsidRDefault="00351780" w:rsidP="00351780">
      <w:pPr>
        <w:rPr>
          <w:b/>
          <w:lang w:val="en-US"/>
        </w:rPr>
      </w:pPr>
    </w:p>
    <w:p w:rsidR="00351780" w:rsidRPr="00602BB9" w:rsidRDefault="00351780" w:rsidP="00351780">
      <w:pPr>
        <w:ind w:right="-567"/>
        <w:jc w:val="left"/>
        <w:rPr>
          <w:sz w:val="18"/>
          <w:szCs w:val="22"/>
        </w:rPr>
      </w:pPr>
      <w:r>
        <w:rPr>
          <w:rFonts w:cs="Arial"/>
          <w:noProof/>
          <w:lang w:eastAsia="en-GB"/>
        </w:rPr>
        <w:lastRenderedPageBreak/>
        <w:drawing>
          <wp:inline distT="0" distB="0" distL="0" distR="0">
            <wp:extent cx="5796280" cy="5247640"/>
            <wp:effectExtent l="0" t="0" r="0" b="0"/>
            <wp:docPr id="30"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51780" w:rsidRPr="00602BB9" w:rsidRDefault="00351780" w:rsidP="00351780">
      <w:pPr>
        <w:ind w:right="-567"/>
        <w:jc w:val="left"/>
        <w:rPr>
          <w:sz w:val="18"/>
          <w:szCs w:val="22"/>
        </w:rPr>
      </w:pPr>
    </w:p>
    <w:p w:rsidR="008E28F4" w:rsidRDefault="00351780" w:rsidP="00351780">
      <w:pPr>
        <w:jc w:val="center"/>
      </w:pPr>
      <w:r>
        <w:rPr>
          <w:szCs w:val="22"/>
        </w:rPr>
        <w:t>* * * * *</w:t>
      </w:r>
    </w:p>
    <w:sectPr w:rsidR="008E28F4" w:rsidSect="008E2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1780"/>
    <w:rsid w:val="00351780"/>
    <w:rsid w:val="004B5CD9"/>
    <w:rsid w:val="008E28F4"/>
    <w:rsid w:val="00A17F84"/>
    <w:rsid w:val="00C3489D"/>
    <w:rsid w:val="00C6326A"/>
    <w:rsid w:val="00D45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80"/>
    <w:pPr>
      <w:spacing w:after="120" w:line="240" w:lineRule="auto"/>
      <w:jc w:val="both"/>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780"/>
    <w:pPr>
      <w:tabs>
        <w:tab w:val="center" w:pos="4536"/>
        <w:tab w:val="right" w:pos="9072"/>
      </w:tabs>
      <w:spacing w:after="0"/>
    </w:pPr>
  </w:style>
  <w:style w:type="character" w:customStyle="1" w:styleId="FooterChar">
    <w:name w:val="Footer Char"/>
    <w:basedOn w:val="DefaultParagraphFont"/>
    <w:link w:val="Footer"/>
    <w:rsid w:val="00351780"/>
    <w:rPr>
      <w:rFonts w:ascii="Arial"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099" b="1" i="0" u="none" strike="noStrike" baseline="0">
                <a:solidFill>
                  <a:srgbClr val="000000"/>
                </a:solidFill>
                <a:latin typeface="Arial"/>
                <a:ea typeface="Arial"/>
                <a:cs typeface="Arial"/>
              </a:defRPr>
            </a:pPr>
            <a:r>
              <a:rPr lang="en-GB"/>
              <a:t>Number of Road Accidents Fatalities In Bulgaria</a:t>
            </a:r>
          </a:p>
        </c:rich>
      </c:tx>
      <c:layout>
        <c:manualLayout>
          <c:xMode val="edge"/>
          <c:yMode val="edge"/>
          <c:x val="0.21535893155258851"/>
          <c:y val="2.0332717190388191E-2"/>
        </c:manualLayout>
      </c:layout>
      <c:spPr>
        <a:noFill/>
        <a:ln w="25381">
          <a:noFill/>
        </a:ln>
      </c:spPr>
    </c:title>
    <c:plotArea>
      <c:layout>
        <c:manualLayout>
          <c:layoutTarget val="inner"/>
          <c:xMode val="edge"/>
          <c:yMode val="edge"/>
          <c:x val="0.12520868113522637"/>
          <c:y val="0.12754158964879853"/>
          <c:w val="0.83138564273789661"/>
          <c:h val="0.70240295748613679"/>
        </c:manualLayout>
      </c:layout>
      <c:scatterChart>
        <c:scatterStyle val="lineMarker"/>
        <c:ser>
          <c:idx val="0"/>
          <c:order val="0"/>
          <c:spPr>
            <a:ln w="28553">
              <a:noFill/>
            </a:ln>
          </c:spPr>
          <c:marker>
            <c:symbol val="diamond"/>
            <c:size val="4"/>
            <c:spPr>
              <a:solidFill>
                <a:srgbClr val="000080"/>
              </a:solidFill>
              <a:ln>
                <a:solidFill>
                  <a:srgbClr val="000080"/>
                </a:solidFill>
                <a:prstDash val="solid"/>
              </a:ln>
            </c:spPr>
          </c:marker>
          <c:xVal>
            <c:numRef>
              <c:f>Sheet1!$A$4:$A$23</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Sheet1!$B$4:$B$23</c:f>
              <c:numCache>
                <c:formatCode>General</c:formatCode>
                <c:ptCount val="20"/>
                <c:pt idx="0">
                  <c:v>1307</c:v>
                </c:pt>
                <c:pt idx="1">
                  <c:v>1390</c:v>
                </c:pt>
                <c:pt idx="2">
                  <c:v>1264</c:v>
                </c:pt>
                <c:pt idx="3">
                  <c:v>1014</c:v>
                </c:pt>
                <c:pt idx="4">
                  <c:v>915</c:v>
                </c:pt>
                <c:pt idx="5">
                  <c:v>1003</c:v>
                </c:pt>
                <c:pt idx="6">
                  <c:v>1047</c:v>
                </c:pt>
                <c:pt idx="7">
                  <c:v>1012</c:v>
                </c:pt>
                <c:pt idx="8">
                  <c:v>1011</c:v>
                </c:pt>
                <c:pt idx="9">
                  <c:v>959</c:v>
                </c:pt>
                <c:pt idx="10">
                  <c:v>960</c:v>
                </c:pt>
                <c:pt idx="11">
                  <c:v>943</c:v>
                </c:pt>
                <c:pt idx="12">
                  <c:v>957</c:v>
                </c:pt>
                <c:pt idx="13">
                  <c:v>1043</c:v>
                </c:pt>
                <c:pt idx="14">
                  <c:v>1006</c:v>
                </c:pt>
                <c:pt idx="15">
                  <c:v>1061</c:v>
                </c:pt>
                <c:pt idx="16">
                  <c:v>901</c:v>
                </c:pt>
                <c:pt idx="17">
                  <c:v>775</c:v>
                </c:pt>
                <c:pt idx="18">
                  <c:v>658</c:v>
                </c:pt>
                <c:pt idx="19">
                  <c:v>601</c:v>
                </c:pt>
              </c:numCache>
            </c:numRef>
          </c:yVal>
        </c:ser>
        <c:axId val="55714560"/>
        <c:axId val="80500992"/>
      </c:scatterChart>
      <c:valAx>
        <c:axId val="55714560"/>
        <c:scaling>
          <c:orientation val="minMax"/>
          <c:max val="2014"/>
        </c:scaling>
        <c:axPos val="b"/>
        <c:title>
          <c:tx>
            <c:rich>
              <a:bodyPr/>
              <a:lstStyle/>
              <a:p>
                <a:pPr>
                  <a:defRPr sz="1099" b="1" i="0" u="none" strike="noStrike" baseline="0">
                    <a:solidFill>
                      <a:srgbClr val="000000"/>
                    </a:solidFill>
                    <a:latin typeface="Arial"/>
                    <a:ea typeface="Arial"/>
                    <a:cs typeface="Arial"/>
                  </a:defRPr>
                </a:pPr>
                <a:r>
                  <a:rPr lang="en-GB"/>
                  <a:t>Year</a:t>
                </a:r>
              </a:p>
            </c:rich>
          </c:tx>
          <c:layout>
            <c:manualLayout>
              <c:xMode val="edge"/>
              <c:yMode val="edge"/>
              <c:x val="0.50918196994991227"/>
              <c:y val="0.88539741219963353"/>
            </c:manualLayout>
          </c:layout>
          <c:spPr>
            <a:noFill/>
            <a:ln w="25381">
              <a:noFill/>
            </a:ln>
          </c:spPr>
        </c:title>
        <c:numFmt formatCode="General" sourceLinked="1"/>
        <c:tickLblPos val="nextTo"/>
        <c:spPr>
          <a:ln w="3173">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80500992"/>
        <c:crosses val="autoZero"/>
        <c:crossBetween val="midCat"/>
        <c:majorUnit val="2"/>
      </c:valAx>
      <c:valAx>
        <c:axId val="80500992"/>
        <c:scaling>
          <c:orientation val="minMax"/>
        </c:scaling>
        <c:axPos val="l"/>
        <c:majorGridlines>
          <c:spPr>
            <a:ln w="3173">
              <a:solidFill>
                <a:srgbClr val="000000"/>
              </a:solidFill>
              <a:prstDash val="solid"/>
            </a:ln>
          </c:spPr>
        </c:majorGridlines>
        <c:title>
          <c:tx>
            <c:rich>
              <a:bodyPr/>
              <a:lstStyle/>
              <a:p>
                <a:pPr>
                  <a:defRPr sz="1099" b="1" i="0" u="none" strike="noStrike" baseline="0">
                    <a:solidFill>
                      <a:srgbClr val="000000"/>
                    </a:solidFill>
                    <a:latin typeface="Arial"/>
                    <a:ea typeface="Arial"/>
                    <a:cs typeface="Arial"/>
                  </a:defRPr>
                </a:pPr>
                <a:r>
                  <a:rPr lang="en-GB"/>
                  <a:t>Number of fatalities</a:t>
                </a:r>
              </a:p>
            </c:rich>
          </c:tx>
          <c:layout>
            <c:manualLayout>
              <c:xMode val="edge"/>
              <c:yMode val="edge"/>
              <c:x val="1.001669449081804E-2"/>
              <c:y val="0.34565619223659877"/>
            </c:manualLayout>
          </c:layout>
          <c:spPr>
            <a:noFill/>
            <a:ln w="25381">
              <a:noFill/>
            </a:ln>
          </c:spPr>
        </c:title>
        <c:numFmt formatCode="General" sourceLinked="1"/>
        <c:tickLblPos val="nextTo"/>
        <c:spPr>
          <a:ln w="3173">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55714560"/>
        <c:crosses val="autoZero"/>
        <c:crossBetween val="midCat"/>
      </c:valAx>
      <c:spPr>
        <a:solidFill>
          <a:srgbClr val="C0C0C0"/>
        </a:solidFill>
        <a:ln w="12690">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974" b="0" i="0" u="none" strike="noStrike" baseline="0">
          <a:solidFill>
            <a:srgbClr val="FF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Jwaring</dc:creator>
  <cp:lastModifiedBy>Jwaring</cp:lastModifiedBy>
  <cp:revision>1</cp:revision>
  <dcterms:created xsi:type="dcterms:W3CDTF">2014-01-15T08:19:00Z</dcterms:created>
  <dcterms:modified xsi:type="dcterms:W3CDTF">2014-01-15T08:20:00Z</dcterms:modified>
</cp:coreProperties>
</file>